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9D9FE">
      <w:pPr>
        <w:pStyle w:val="2"/>
        <w:pageBreakBefore/>
        <w:spacing w:before="0" w:after="0"/>
        <w:jc w:val="center"/>
        <w:rPr>
          <w:rFonts w:ascii="宋体" w:hAnsi="宋体"/>
          <w:b w:val="0"/>
          <w:sz w:val="22"/>
          <w:szCs w:val="22"/>
        </w:rPr>
      </w:pPr>
      <w:bookmarkStart w:id="0" w:name="_Toc3825630"/>
      <w:r>
        <w:rPr>
          <w:rFonts w:hint="eastAsia" w:ascii="宋体" w:hAnsi="宋体"/>
          <w:sz w:val="24"/>
          <w:szCs w:val="24"/>
        </w:rPr>
        <w:t xml:space="preserve"> 用户需求书</w:t>
      </w:r>
      <w:bookmarkEnd w:id="0"/>
    </w:p>
    <w:p w14:paraId="6D77D83B">
      <w:pPr>
        <w:pStyle w:val="11"/>
        <w:numPr>
          <w:ilvl w:val="0"/>
          <w:numId w:val="1"/>
        </w:numPr>
        <w:tabs>
          <w:tab w:val="left" w:pos="426"/>
          <w:tab w:val="left" w:pos="567"/>
        </w:tabs>
        <w:spacing w:before="156" w:beforeLines="50" w:after="156" w:afterLines="50"/>
        <w:ind w:firstLineChars="0"/>
        <w:rPr>
          <w:b/>
          <w:sz w:val="22"/>
          <w:szCs w:val="22"/>
        </w:rPr>
      </w:pPr>
      <w:r>
        <w:rPr>
          <w:rFonts w:hint="eastAsia"/>
          <w:b/>
          <w:sz w:val="22"/>
          <w:szCs w:val="22"/>
        </w:rPr>
        <w:t>项目概况</w:t>
      </w:r>
    </w:p>
    <w:p w14:paraId="421C3F8E">
      <w:pPr>
        <w:pStyle w:val="11"/>
        <w:spacing w:line="360" w:lineRule="auto"/>
        <w:ind w:firstLineChars="0"/>
        <w:rPr>
          <w:rFonts w:ascii="宋体" w:hAnsi="宋体"/>
          <w:sz w:val="22"/>
          <w:szCs w:val="22"/>
        </w:rPr>
      </w:pPr>
      <w:r>
        <w:rPr>
          <w:rFonts w:hint="eastAsia" w:ascii="宋体" w:hAnsi="宋体"/>
          <w:sz w:val="22"/>
          <w:szCs w:val="22"/>
        </w:rPr>
        <w:t>东莞市工人电影院影院室内面积约1100平方米，现有影厅4个，共计397个座位。目前拟通过公开招标的采购方式选取服务单位对东莞市工人电影院</w:t>
      </w:r>
      <w:r>
        <w:rPr>
          <w:rFonts w:hint="eastAsia" w:ascii="宋体" w:hAnsi="宋体"/>
          <w:sz w:val="22"/>
          <w:szCs w:val="22"/>
          <w:lang w:val="en-US" w:eastAsia="zh-CN"/>
        </w:rPr>
        <w:t>放映设备维保工作</w:t>
      </w:r>
      <w:r>
        <w:rPr>
          <w:rFonts w:hint="eastAsia" w:ascii="宋体" w:hAnsi="宋体"/>
          <w:sz w:val="22"/>
          <w:szCs w:val="22"/>
        </w:rPr>
        <w:t>。服务范围包括但不限于</w:t>
      </w:r>
      <w:r>
        <w:rPr>
          <w:rFonts w:hint="eastAsia" w:ascii="宋体" w:hAnsi="宋体"/>
          <w:sz w:val="22"/>
          <w:szCs w:val="22"/>
          <w:lang w:val="en-US" w:eastAsia="zh-CN"/>
        </w:rPr>
        <w:t>放映服务器维保、音响及周边维保、放映机设备维保</w:t>
      </w:r>
      <w:r>
        <w:rPr>
          <w:rFonts w:hint="eastAsia" w:ascii="宋体" w:hAnsi="宋体"/>
          <w:sz w:val="22"/>
          <w:szCs w:val="22"/>
        </w:rPr>
        <w:t>等。</w:t>
      </w:r>
    </w:p>
    <w:p w14:paraId="39BF2206">
      <w:pPr>
        <w:pStyle w:val="11"/>
        <w:numPr>
          <w:ilvl w:val="0"/>
          <w:numId w:val="1"/>
        </w:numPr>
        <w:tabs>
          <w:tab w:val="left" w:pos="426"/>
          <w:tab w:val="left" w:pos="567"/>
        </w:tabs>
        <w:spacing w:before="156" w:beforeLines="50" w:after="156" w:afterLines="50"/>
        <w:ind w:firstLineChars="0"/>
        <w:rPr>
          <w:rFonts w:ascii="宋体" w:hAnsi="宋体"/>
          <w:sz w:val="22"/>
          <w:szCs w:val="22"/>
        </w:rPr>
      </w:pPr>
      <w:r>
        <w:rPr>
          <w:rFonts w:hint="eastAsia"/>
          <w:b/>
          <w:sz w:val="22"/>
          <w:szCs w:val="22"/>
        </w:rPr>
        <w:t>服务内容</w:t>
      </w:r>
      <w:r>
        <w:rPr>
          <w:rFonts w:hint="eastAsia"/>
          <w:b/>
          <w:sz w:val="22"/>
          <w:szCs w:val="22"/>
          <w:lang w:val="en-US" w:eastAsia="zh-CN"/>
        </w:rPr>
        <w:t>及要求</w:t>
      </w:r>
    </w:p>
    <w:p w14:paraId="134249A8">
      <w:pPr>
        <w:pStyle w:val="11"/>
        <w:numPr>
          <w:ilvl w:val="0"/>
          <w:numId w:val="0"/>
        </w:numPr>
        <w:spacing w:line="360" w:lineRule="auto"/>
        <w:ind w:leftChars="0"/>
        <w:rPr>
          <w:rFonts w:hint="eastAsia" w:ascii="宋体" w:hAnsi="宋体" w:eastAsia="宋体"/>
          <w:b/>
          <w:bCs/>
          <w:sz w:val="22"/>
          <w:szCs w:val="22"/>
          <w:lang w:eastAsia="zh-CN"/>
        </w:rPr>
      </w:pPr>
      <w:r>
        <w:rPr>
          <w:rFonts w:hint="eastAsia" w:ascii="宋体" w:hAnsi="宋体"/>
          <w:sz w:val="22"/>
          <w:szCs w:val="22"/>
          <w:lang w:val="en-US" w:eastAsia="zh-CN"/>
        </w:rPr>
        <w:t>（一）定期维保，</w:t>
      </w:r>
      <w:r>
        <w:rPr>
          <w:rFonts w:hint="eastAsia" w:ascii="宋体" w:hAnsi="宋体"/>
          <w:sz w:val="22"/>
          <w:szCs w:val="22"/>
        </w:rPr>
        <w:t>保障</w:t>
      </w:r>
      <w:r>
        <w:rPr>
          <w:rFonts w:hint="eastAsia" w:ascii="宋体" w:hAnsi="宋体"/>
          <w:sz w:val="22"/>
          <w:szCs w:val="22"/>
          <w:lang w:val="en-US" w:eastAsia="zh-CN"/>
        </w:rPr>
        <w:t>放映机正常运行</w:t>
      </w:r>
      <w:r>
        <w:rPr>
          <w:rFonts w:hint="eastAsia" w:ascii="宋体" w:hAnsi="宋体"/>
          <w:sz w:val="22"/>
          <w:szCs w:val="22"/>
        </w:rPr>
        <w:t>。任意配件或软件功能损坏均由维保方承担，因人为因素或者不可抗力因素等原因造成的损坏除外</w:t>
      </w:r>
      <w:r>
        <w:rPr>
          <w:rFonts w:hint="eastAsia" w:ascii="宋体" w:hAnsi="宋体"/>
          <w:sz w:val="22"/>
          <w:szCs w:val="22"/>
          <w:lang w:eastAsia="zh-CN"/>
        </w:rPr>
        <w:t>。</w:t>
      </w:r>
    </w:p>
    <w:p w14:paraId="6E3E8EF2">
      <w:pPr>
        <w:pStyle w:val="11"/>
        <w:numPr>
          <w:ilvl w:val="0"/>
          <w:numId w:val="0"/>
        </w:numPr>
        <w:spacing w:line="360" w:lineRule="auto"/>
        <w:ind w:leftChars="0"/>
        <w:rPr>
          <w:rFonts w:ascii="宋体" w:hAnsi="宋体"/>
          <w:b/>
          <w:bCs/>
          <w:sz w:val="22"/>
          <w:szCs w:val="22"/>
        </w:rPr>
      </w:pPr>
      <w:r>
        <w:rPr>
          <w:rFonts w:hint="eastAsia" w:ascii="宋体" w:hAnsi="宋体"/>
          <w:sz w:val="22"/>
          <w:szCs w:val="22"/>
          <w:lang w:val="en-US" w:eastAsia="zh-CN"/>
        </w:rPr>
        <w:t>（二）电影放映相关设备发生故障时需1小时内响应</w:t>
      </w:r>
      <w:r>
        <w:rPr>
          <w:rFonts w:hint="eastAsia" w:ascii="宋体" w:hAnsi="宋体"/>
          <w:sz w:val="22"/>
          <w:szCs w:val="22"/>
        </w:rPr>
        <w:t>。</w:t>
      </w:r>
    </w:p>
    <w:p w14:paraId="61FC6A97">
      <w:pPr>
        <w:pStyle w:val="11"/>
        <w:numPr>
          <w:ilvl w:val="0"/>
          <w:numId w:val="0"/>
        </w:numPr>
        <w:spacing w:line="360" w:lineRule="auto"/>
        <w:ind w:leftChars="0"/>
        <w:rPr>
          <w:rFonts w:ascii="宋体" w:hAnsi="宋体"/>
          <w:sz w:val="22"/>
          <w:szCs w:val="22"/>
        </w:rPr>
      </w:pPr>
      <w:r>
        <w:rPr>
          <w:rFonts w:hint="eastAsia" w:ascii="宋体" w:hAnsi="宋体"/>
          <w:sz w:val="22"/>
          <w:szCs w:val="22"/>
          <w:lang w:val="en-US" w:eastAsia="zh-CN"/>
        </w:rPr>
        <w:t>（三）出具月度维保报告、季度清洁报告、年度总结报告</w:t>
      </w:r>
    </w:p>
    <w:p w14:paraId="733717FC">
      <w:pPr>
        <w:pStyle w:val="11"/>
        <w:spacing w:line="360" w:lineRule="auto"/>
        <w:ind w:left="0" w:leftChars="0" w:firstLine="0" w:firstLineChars="0"/>
        <w:rPr>
          <w:rFonts w:hint="default" w:ascii="宋体" w:hAnsi="宋体" w:eastAsia="宋体"/>
          <w:b/>
          <w:bCs/>
          <w:sz w:val="22"/>
          <w:szCs w:val="22"/>
          <w:lang w:val="en-US" w:eastAsia="zh-CN"/>
        </w:rPr>
      </w:pPr>
      <w:r>
        <w:rPr>
          <w:rFonts w:hint="eastAsia" w:ascii="宋体" w:hAnsi="宋体"/>
          <w:sz w:val="22"/>
          <w:szCs w:val="22"/>
          <w:lang w:eastAsia="zh-CN"/>
        </w:rPr>
        <w:t>（</w:t>
      </w:r>
      <w:r>
        <w:rPr>
          <w:rFonts w:hint="eastAsia" w:ascii="宋体" w:hAnsi="宋体"/>
          <w:sz w:val="22"/>
          <w:szCs w:val="22"/>
          <w:lang w:val="en-US" w:eastAsia="zh-CN"/>
        </w:rPr>
        <w:t>四</w:t>
      </w:r>
      <w:r>
        <w:rPr>
          <w:rFonts w:hint="eastAsia" w:ascii="宋体" w:hAnsi="宋体"/>
          <w:sz w:val="22"/>
          <w:szCs w:val="22"/>
          <w:lang w:eastAsia="zh-CN"/>
        </w:rPr>
        <w:t>）</w:t>
      </w:r>
      <w:r>
        <w:rPr>
          <w:rFonts w:hint="eastAsia" w:ascii="宋体" w:hAnsi="宋体"/>
          <w:sz w:val="22"/>
          <w:szCs w:val="22"/>
          <w:lang w:val="en-US" w:eastAsia="zh-CN"/>
        </w:rPr>
        <w:t>维保</w:t>
      </w:r>
      <w:r>
        <w:rPr>
          <w:rFonts w:hint="eastAsia" w:ascii="宋体" w:hAnsi="宋体"/>
          <w:sz w:val="22"/>
          <w:szCs w:val="22"/>
        </w:rPr>
        <w:t>人员必须熟悉影院设备设施的安全使用操作,熟练使用和熟悉设备设施、安全通道,具备预防和解决</w:t>
      </w:r>
      <w:r>
        <w:rPr>
          <w:rFonts w:hint="eastAsia" w:ascii="宋体" w:hAnsi="宋体"/>
          <w:sz w:val="22"/>
          <w:szCs w:val="22"/>
          <w:lang w:val="en-US" w:eastAsia="zh-CN"/>
        </w:rPr>
        <w:t>放映相关设备</w:t>
      </w:r>
      <w:r>
        <w:rPr>
          <w:rFonts w:hint="eastAsia" w:ascii="宋体" w:hAnsi="宋体"/>
          <w:sz w:val="22"/>
          <w:szCs w:val="22"/>
        </w:rPr>
        <w:t>初起安全事故能力</w:t>
      </w:r>
      <w:r>
        <w:rPr>
          <w:rFonts w:hint="eastAsia" w:ascii="宋体" w:hAnsi="宋体"/>
          <w:sz w:val="22"/>
          <w:szCs w:val="22"/>
          <w:lang w:eastAsia="zh-CN"/>
        </w:rPr>
        <w:t>，</w:t>
      </w:r>
      <w:r>
        <w:rPr>
          <w:rFonts w:hint="eastAsia" w:ascii="宋体" w:hAnsi="宋体"/>
          <w:sz w:val="22"/>
          <w:szCs w:val="22"/>
          <w:lang w:val="en-US" w:eastAsia="zh-CN"/>
        </w:rPr>
        <w:t>避免因放映设备引起安全事故</w:t>
      </w:r>
      <w:r>
        <w:rPr>
          <w:rFonts w:hint="eastAsia" w:ascii="宋体" w:hAnsi="宋体"/>
          <w:sz w:val="22"/>
          <w:szCs w:val="22"/>
        </w:rPr>
        <w:t>。</w:t>
      </w:r>
    </w:p>
    <w:p w14:paraId="0A801671">
      <w:pPr>
        <w:pStyle w:val="11"/>
        <w:spacing w:line="360" w:lineRule="auto"/>
        <w:ind w:left="0" w:leftChars="0" w:firstLine="0" w:firstLineChars="0"/>
        <w:rPr>
          <w:rFonts w:hint="eastAsia" w:ascii="宋体" w:hAnsi="宋体"/>
          <w:sz w:val="22"/>
          <w:szCs w:val="22"/>
        </w:rPr>
      </w:pPr>
      <w:r>
        <w:rPr>
          <w:rFonts w:hint="eastAsia" w:ascii="宋体" w:hAnsi="宋体"/>
          <w:sz w:val="22"/>
          <w:szCs w:val="22"/>
          <w:lang w:val="en-US" w:eastAsia="zh-CN"/>
        </w:rPr>
        <w:t>（五）每日安排维保专员，做好值班登记表</w:t>
      </w:r>
      <w:r>
        <w:rPr>
          <w:rFonts w:hint="eastAsia" w:ascii="宋体" w:hAnsi="宋体"/>
          <w:sz w:val="22"/>
          <w:szCs w:val="22"/>
        </w:rPr>
        <w:t>。</w:t>
      </w:r>
    </w:p>
    <w:p w14:paraId="5B7421FB">
      <w:pPr>
        <w:pStyle w:val="11"/>
        <w:numPr>
          <w:ilvl w:val="0"/>
          <w:numId w:val="1"/>
        </w:numPr>
        <w:tabs>
          <w:tab w:val="left" w:pos="426"/>
          <w:tab w:val="left" w:pos="567"/>
        </w:tabs>
        <w:spacing w:before="156" w:beforeLines="50" w:after="156" w:afterLines="50"/>
        <w:ind w:firstLineChars="0"/>
        <w:rPr>
          <w:b/>
          <w:sz w:val="22"/>
          <w:szCs w:val="22"/>
        </w:rPr>
      </w:pPr>
      <w:r>
        <w:rPr>
          <w:rFonts w:hint="eastAsia"/>
          <w:b/>
          <w:sz w:val="22"/>
          <w:szCs w:val="22"/>
        </w:rPr>
        <w:t>服务期</w:t>
      </w:r>
    </w:p>
    <w:p w14:paraId="5E7DD287">
      <w:pPr>
        <w:spacing w:line="580" w:lineRule="exact"/>
        <w:ind w:firstLine="440" w:firstLineChars="200"/>
        <w:rPr>
          <w:rFonts w:hint="eastAsia" w:ascii="宋体" w:hAnsi="宋体"/>
          <w:sz w:val="22"/>
          <w:szCs w:val="22"/>
        </w:rPr>
      </w:pPr>
      <w:r>
        <w:rPr>
          <w:rFonts w:hint="eastAsia" w:ascii="宋体" w:hAnsi="宋体"/>
          <w:sz w:val="22"/>
          <w:szCs w:val="22"/>
        </w:rPr>
        <w:t>自合同签订之日起</w:t>
      </w:r>
      <w:r>
        <w:rPr>
          <w:rFonts w:hint="eastAsia" w:ascii="宋体" w:hAnsi="宋体"/>
          <w:sz w:val="22"/>
          <w:szCs w:val="22"/>
          <w:lang w:val="en-US" w:eastAsia="zh-CN"/>
        </w:rPr>
        <w:t>一</w:t>
      </w:r>
      <w:r>
        <w:rPr>
          <w:rFonts w:hint="eastAsia" w:ascii="宋体" w:hAnsi="宋体"/>
          <w:sz w:val="22"/>
          <w:szCs w:val="22"/>
        </w:rPr>
        <w:t>年；合同期内中标人发生重大安全责任事故或因严重违规经营被相关行政管理部门处罚的，采购人有权单方面终止合同。</w:t>
      </w:r>
    </w:p>
    <w:p w14:paraId="6D134D6C">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lang w:val="en-US" w:eastAsia="zh-CN"/>
        </w:rPr>
        <w:t>四</w:t>
      </w:r>
      <w:r>
        <w:rPr>
          <w:rFonts w:hint="eastAsia" w:ascii="宋体" w:hAnsi="宋体" w:eastAsia="宋体" w:cs="Times New Roman"/>
          <w:b/>
          <w:kern w:val="0"/>
          <w:sz w:val="22"/>
          <w:szCs w:val="22"/>
        </w:rPr>
        <w:t>、</w:t>
      </w:r>
      <w:r>
        <w:rPr>
          <w:rFonts w:hint="eastAsia"/>
          <w:b/>
          <w:sz w:val="22"/>
          <w:szCs w:val="22"/>
        </w:rPr>
        <w:t>报价要求</w:t>
      </w:r>
    </w:p>
    <w:p w14:paraId="5DF5F76D">
      <w:pPr>
        <w:spacing w:line="580" w:lineRule="exact"/>
        <w:ind w:firstLine="440" w:firstLineChars="200"/>
        <w:rPr>
          <w:rFonts w:ascii="宋体" w:hAnsi="宋体"/>
          <w:sz w:val="22"/>
          <w:szCs w:val="22"/>
        </w:rPr>
      </w:pPr>
      <w:r>
        <w:rPr>
          <w:rFonts w:hint="eastAsia"/>
          <w:sz w:val="22"/>
          <w:szCs w:val="22"/>
        </w:rPr>
        <w:t>本项目以人民币为结算单位，实行合同总价包干方式，</w:t>
      </w:r>
      <w:r>
        <w:rPr>
          <w:rFonts w:hint="eastAsia"/>
          <w:sz w:val="22"/>
          <w:szCs w:val="22"/>
          <w:lang w:eastAsia="zh-CN"/>
        </w:rPr>
        <w:t>承接商</w:t>
      </w:r>
      <w:r>
        <w:rPr>
          <w:rFonts w:hint="eastAsia"/>
          <w:sz w:val="22"/>
          <w:szCs w:val="22"/>
        </w:rPr>
        <w:t>须对采购范围的全部内容进行报价。报价包括人工、技术交通等服务费及所有直接、间接费</w:t>
      </w:r>
      <w:r>
        <w:rPr>
          <w:rFonts w:hint="eastAsia"/>
          <w:sz w:val="22"/>
          <w:szCs w:val="22"/>
          <w:lang w:eastAsia="zh-CN"/>
        </w:rPr>
        <w:t>、</w:t>
      </w:r>
      <w:r>
        <w:rPr>
          <w:rFonts w:hint="eastAsia"/>
          <w:sz w:val="22"/>
          <w:szCs w:val="22"/>
        </w:rPr>
        <w:t>税金等所有费用。</w:t>
      </w:r>
    </w:p>
    <w:p w14:paraId="41EA916D">
      <w:pPr>
        <w:pStyle w:val="11"/>
        <w:numPr>
          <w:ilvl w:val="0"/>
          <w:numId w:val="0"/>
        </w:numPr>
        <w:tabs>
          <w:tab w:val="left" w:pos="426"/>
          <w:tab w:val="left" w:pos="567"/>
        </w:tabs>
        <w:spacing w:before="156" w:beforeLines="50" w:after="156" w:afterLines="50"/>
        <w:ind w:leftChars="0"/>
        <w:rPr>
          <w:b/>
          <w:sz w:val="22"/>
          <w:szCs w:val="22"/>
        </w:rPr>
      </w:pPr>
      <w:r>
        <w:rPr>
          <w:rFonts w:hint="eastAsia"/>
          <w:b/>
          <w:sz w:val="22"/>
          <w:szCs w:val="22"/>
          <w:lang w:val="en-US" w:eastAsia="zh-CN"/>
        </w:rPr>
        <w:t>五、</w:t>
      </w:r>
      <w:r>
        <w:rPr>
          <w:rFonts w:hint="eastAsia"/>
          <w:b/>
          <w:sz w:val="22"/>
          <w:szCs w:val="22"/>
        </w:rPr>
        <w:t>付款方式</w:t>
      </w:r>
    </w:p>
    <w:p w14:paraId="12510E99">
      <w:pPr>
        <w:pStyle w:val="11"/>
        <w:spacing w:line="360" w:lineRule="auto"/>
        <w:ind w:firstLine="440"/>
        <w:rPr>
          <w:rFonts w:hint="eastAsia" w:ascii="宋体" w:hAnsi="宋体"/>
          <w:sz w:val="22"/>
          <w:szCs w:val="22"/>
        </w:rPr>
      </w:pPr>
      <w:r>
        <w:rPr>
          <w:rFonts w:hint="eastAsia" w:ascii="宋体" w:hAnsi="宋体"/>
          <w:sz w:val="22"/>
          <w:szCs w:val="22"/>
        </w:rPr>
        <w:t>根据先支付后服务的原则，采购人每月15日前向中标人支付当月的</w:t>
      </w:r>
      <w:r>
        <w:rPr>
          <w:rFonts w:hint="eastAsia" w:ascii="宋体" w:hAnsi="宋体"/>
          <w:sz w:val="22"/>
          <w:szCs w:val="22"/>
          <w:lang w:val="en-US" w:eastAsia="zh-CN"/>
        </w:rPr>
        <w:t>维保</w:t>
      </w:r>
      <w:r>
        <w:rPr>
          <w:rFonts w:hint="eastAsia" w:ascii="宋体" w:hAnsi="宋体"/>
          <w:sz w:val="22"/>
          <w:szCs w:val="22"/>
        </w:rPr>
        <w:t>服务费；每月</w:t>
      </w:r>
      <w:r>
        <w:rPr>
          <w:rFonts w:hint="eastAsia" w:ascii="宋体" w:hAnsi="宋体"/>
          <w:sz w:val="22"/>
          <w:szCs w:val="22"/>
          <w:lang w:val="en-US" w:eastAsia="zh-CN"/>
        </w:rPr>
        <w:t>维保</w:t>
      </w:r>
      <w:r>
        <w:rPr>
          <w:rFonts w:hint="eastAsia" w:ascii="宋体" w:hAnsi="宋体"/>
          <w:sz w:val="22"/>
          <w:szCs w:val="22"/>
        </w:rPr>
        <w:t>服务费按合同价除以</w:t>
      </w:r>
      <w:r>
        <w:rPr>
          <w:rFonts w:hint="eastAsia" w:ascii="宋体" w:hAnsi="宋体"/>
          <w:sz w:val="22"/>
          <w:szCs w:val="22"/>
          <w:lang w:val="en-US" w:eastAsia="zh-CN"/>
        </w:rPr>
        <w:t>12</w:t>
      </w:r>
      <w:r>
        <w:rPr>
          <w:rFonts w:hint="eastAsia" w:ascii="宋体" w:hAnsi="宋体"/>
          <w:sz w:val="22"/>
          <w:szCs w:val="22"/>
        </w:rPr>
        <w:t>个月</w:t>
      </w:r>
      <w:r>
        <w:rPr>
          <w:rFonts w:hint="eastAsia" w:ascii="宋体" w:hAnsi="宋体"/>
          <w:sz w:val="22"/>
          <w:szCs w:val="22"/>
          <w:lang w:eastAsia="zh-CN"/>
        </w:rPr>
        <w:t>（</w:t>
      </w:r>
      <w:r>
        <w:rPr>
          <w:rFonts w:hint="eastAsia" w:ascii="宋体" w:hAnsi="宋体"/>
          <w:sz w:val="22"/>
          <w:szCs w:val="22"/>
          <w:lang w:val="en-US" w:eastAsia="zh-CN"/>
        </w:rPr>
        <w:t>两年期合同则除以24个月</w:t>
      </w:r>
      <w:r>
        <w:rPr>
          <w:rFonts w:hint="eastAsia" w:ascii="宋体" w:hAnsi="宋体"/>
          <w:sz w:val="22"/>
          <w:szCs w:val="22"/>
          <w:lang w:eastAsia="zh-CN"/>
        </w:rPr>
        <w:t>）</w:t>
      </w:r>
      <w:r>
        <w:rPr>
          <w:rFonts w:hint="eastAsia" w:ascii="宋体" w:hAnsi="宋体"/>
          <w:sz w:val="22"/>
          <w:szCs w:val="22"/>
        </w:rPr>
        <w:t>平均计算，当月</w:t>
      </w:r>
      <w:r>
        <w:rPr>
          <w:rFonts w:hint="eastAsia" w:ascii="宋体" w:hAnsi="宋体"/>
          <w:sz w:val="22"/>
          <w:szCs w:val="22"/>
          <w:lang w:val="en-US" w:eastAsia="zh-CN"/>
        </w:rPr>
        <w:t>维保</w:t>
      </w:r>
      <w:r>
        <w:rPr>
          <w:rFonts w:hint="eastAsia" w:ascii="宋体" w:hAnsi="宋体"/>
          <w:sz w:val="22"/>
          <w:szCs w:val="22"/>
        </w:rPr>
        <w:t>服务费须经采购人现场</w:t>
      </w:r>
      <w:r>
        <w:rPr>
          <w:rFonts w:hint="eastAsia" w:ascii="宋体" w:hAnsi="宋体"/>
          <w:sz w:val="22"/>
          <w:szCs w:val="22"/>
          <w:lang w:eastAsia="zh-CN"/>
        </w:rPr>
        <w:t>确</w:t>
      </w:r>
      <w:r>
        <w:rPr>
          <w:rFonts w:hint="eastAsia" w:ascii="宋体" w:hAnsi="宋体"/>
          <w:sz w:val="22"/>
          <w:szCs w:val="22"/>
          <w:lang w:val="en-US" w:eastAsia="zh-CN"/>
        </w:rPr>
        <w:t>认维保工作</w:t>
      </w:r>
      <w:r>
        <w:rPr>
          <w:rFonts w:hint="eastAsia" w:ascii="宋体" w:hAnsi="宋体"/>
          <w:sz w:val="22"/>
          <w:szCs w:val="22"/>
        </w:rPr>
        <w:t>，根据</w:t>
      </w:r>
      <w:r>
        <w:rPr>
          <w:rFonts w:hint="eastAsia" w:ascii="宋体" w:hAnsi="宋体"/>
          <w:sz w:val="22"/>
          <w:szCs w:val="22"/>
          <w:lang w:val="en-US" w:eastAsia="zh-CN"/>
        </w:rPr>
        <w:t>甲方服务要求</w:t>
      </w:r>
      <w:r>
        <w:rPr>
          <w:rFonts w:hint="eastAsia" w:ascii="宋体" w:hAnsi="宋体"/>
          <w:sz w:val="22"/>
          <w:szCs w:val="22"/>
        </w:rPr>
        <w:t>确定实际应付数额后支付，付款时中标人应出具与实际应付款数额相符的发票，否则造成不能按时付款的责任由中标人自行承担。</w:t>
      </w:r>
    </w:p>
    <w:p w14:paraId="0330CBE7">
      <w:pPr>
        <w:pStyle w:val="11"/>
        <w:numPr>
          <w:ilvl w:val="0"/>
          <w:numId w:val="0"/>
        </w:numPr>
        <w:tabs>
          <w:tab w:val="left" w:pos="426"/>
          <w:tab w:val="left" w:pos="567"/>
        </w:tabs>
        <w:spacing w:before="156" w:beforeLines="50" w:after="156" w:afterLines="50"/>
        <w:ind w:leftChars="0"/>
        <w:rPr>
          <w:b/>
          <w:sz w:val="22"/>
          <w:szCs w:val="22"/>
        </w:rPr>
      </w:pPr>
      <w:r>
        <w:rPr>
          <w:rFonts w:hint="eastAsia"/>
          <w:b/>
          <w:sz w:val="22"/>
          <w:szCs w:val="22"/>
          <w:lang w:val="en-US" w:eastAsia="zh-CN"/>
        </w:rPr>
        <w:t>六、</w:t>
      </w:r>
      <w:r>
        <w:rPr>
          <w:rFonts w:hint="eastAsia"/>
          <w:b/>
          <w:sz w:val="22"/>
          <w:szCs w:val="22"/>
        </w:rPr>
        <w:t>服务考核</w:t>
      </w:r>
    </w:p>
    <w:p w14:paraId="4060FB7D">
      <w:pPr>
        <w:pStyle w:val="11"/>
        <w:numPr>
          <w:ilvl w:val="0"/>
          <w:numId w:val="2"/>
        </w:numPr>
        <w:spacing w:line="360" w:lineRule="auto"/>
        <w:ind w:firstLineChars="0"/>
        <w:rPr>
          <w:rFonts w:ascii="宋体" w:hAnsi="宋体"/>
          <w:sz w:val="22"/>
          <w:szCs w:val="22"/>
        </w:rPr>
      </w:pPr>
      <w:r>
        <w:rPr>
          <w:rFonts w:hint="eastAsia" w:ascii="宋体" w:hAnsi="宋体"/>
          <w:sz w:val="22"/>
          <w:szCs w:val="22"/>
        </w:rPr>
        <w:t>中标人</w:t>
      </w:r>
      <w:r>
        <w:rPr>
          <w:rFonts w:hint="eastAsia" w:ascii="宋体" w:hAnsi="宋体"/>
          <w:sz w:val="22"/>
          <w:szCs w:val="22"/>
          <w:lang w:val="en-US" w:eastAsia="zh-CN"/>
        </w:rPr>
        <w:t>每月出具维保报告，每季度出具清洁报告及维保小结，每年度出具总结报告，</w:t>
      </w:r>
      <w:r>
        <w:rPr>
          <w:rFonts w:hint="eastAsia" w:ascii="宋体" w:hAnsi="宋体"/>
          <w:sz w:val="22"/>
          <w:szCs w:val="22"/>
        </w:rPr>
        <w:t>采购人根据</w:t>
      </w:r>
      <w:r>
        <w:rPr>
          <w:rFonts w:hint="eastAsia" w:ascii="宋体" w:hAnsi="宋体"/>
          <w:sz w:val="22"/>
          <w:szCs w:val="22"/>
          <w:lang w:val="en-US" w:eastAsia="zh-CN"/>
        </w:rPr>
        <w:t>维保报告</w:t>
      </w:r>
      <w:r>
        <w:rPr>
          <w:rFonts w:hint="eastAsia" w:ascii="宋体" w:hAnsi="宋体"/>
          <w:sz w:val="22"/>
          <w:szCs w:val="22"/>
        </w:rPr>
        <w:t>支付</w:t>
      </w:r>
      <w:r>
        <w:rPr>
          <w:rFonts w:hint="eastAsia" w:ascii="宋体" w:hAnsi="宋体"/>
          <w:sz w:val="22"/>
          <w:szCs w:val="22"/>
          <w:lang w:val="en-US" w:eastAsia="zh-CN"/>
        </w:rPr>
        <w:t>维保</w:t>
      </w:r>
      <w:r>
        <w:rPr>
          <w:rFonts w:hint="eastAsia" w:ascii="宋体" w:hAnsi="宋体"/>
          <w:sz w:val="22"/>
          <w:szCs w:val="22"/>
        </w:rPr>
        <w:t>服务费用。</w:t>
      </w:r>
    </w:p>
    <w:p w14:paraId="055E47A8">
      <w:pPr>
        <w:pStyle w:val="11"/>
        <w:numPr>
          <w:ilvl w:val="0"/>
          <w:numId w:val="2"/>
        </w:numPr>
        <w:spacing w:line="360" w:lineRule="auto"/>
        <w:ind w:firstLineChars="0"/>
        <w:rPr>
          <w:rFonts w:ascii="宋体" w:hAnsi="宋体"/>
          <w:sz w:val="22"/>
          <w:szCs w:val="22"/>
        </w:rPr>
      </w:pPr>
      <w:r>
        <w:rPr>
          <w:rFonts w:hint="eastAsia" w:ascii="宋体" w:hAnsi="宋体"/>
          <w:sz w:val="22"/>
          <w:szCs w:val="22"/>
        </w:rPr>
        <w:t>服务违约及处置</w:t>
      </w:r>
    </w:p>
    <w:p w14:paraId="79A67320">
      <w:pPr>
        <w:pStyle w:val="11"/>
        <w:spacing w:line="360" w:lineRule="auto"/>
        <w:ind w:firstLine="0" w:firstLineChars="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1</w:t>
      </w:r>
      <w:r>
        <w:rPr>
          <w:rFonts w:hint="eastAsia" w:ascii="宋体" w:hAnsi="宋体"/>
          <w:sz w:val="22"/>
          <w:szCs w:val="22"/>
        </w:rPr>
        <w:t>服务期内，若用户需求中列明有须中标人履行职责的任何一项没有按要求进行服务的，在采购人通知中标人后，其仍未进行处理的，采购人则拒绝支付当月的</w:t>
      </w:r>
      <w:r>
        <w:rPr>
          <w:rFonts w:hint="eastAsia" w:ascii="宋体" w:hAnsi="宋体"/>
          <w:sz w:val="22"/>
          <w:szCs w:val="22"/>
          <w:lang w:val="en-US" w:eastAsia="zh-CN"/>
        </w:rPr>
        <w:t>维保</w:t>
      </w:r>
      <w:r>
        <w:rPr>
          <w:rFonts w:hint="eastAsia" w:ascii="宋体" w:hAnsi="宋体"/>
          <w:sz w:val="22"/>
          <w:szCs w:val="22"/>
        </w:rPr>
        <w:t>服务费用。</w:t>
      </w:r>
    </w:p>
    <w:p w14:paraId="663FEBCB">
      <w:pPr>
        <w:pStyle w:val="11"/>
        <w:spacing w:line="360" w:lineRule="auto"/>
        <w:ind w:firstLine="0" w:firstLineChars="0"/>
        <w:rPr>
          <w:rFonts w:ascii="宋体" w:hAnsi="宋体"/>
          <w:sz w:val="22"/>
          <w:szCs w:val="22"/>
        </w:rPr>
      </w:pPr>
      <w:r>
        <w:rPr>
          <w:rFonts w:hint="eastAsia" w:ascii="宋体" w:hAnsi="宋体"/>
          <w:sz w:val="22"/>
          <w:szCs w:val="22"/>
        </w:rPr>
        <w:t>2.3</w:t>
      </w:r>
      <w:r>
        <w:rPr>
          <w:rFonts w:hint="eastAsia" w:ascii="宋体" w:hAnsi="宋体" w:cs="宋体"/>
          <w:sz w:val="21"/>
          <w:szCs w:val="21"/>
        </w:rPr>
        <w:t>服务期内，中标人累计有</w:t>
      </w:r>
      <w:r>
        <w:rPr>
          <w:rFonts w:hint="eastAsia" w:ascii="宋体" w:hAnsi="宋体" w:cs="宋体"/>
          <w:sz w:val="21"/>
          <w:szCs w:val="21"/>
          <w:lang w:val="en-US" w:eastAsia="zh-CN"/>
        </w:rPr>
        <w:t>2次未按服务要求完成工作的</w:t>
      </w:r>
      <w:r>
        <w:rPr>
          <w:rFonts w:hint="eastAsia" w:ascii="宋体" w:hAnsi="宋体" w:cs="宋体"/>
          <w:sz w:val="21"/>
          <w:szCs w:val="21"/>
        </w:rPr>
        <w:t>，采购人有权单方面终止采购合同。</w:t>
      </w:r>
      <w:bookmarkStart w:id="1" w:name="_GoBack"/>
      <w:bookmarkEnd w:id="1"/>
    </w:p>
    <w:p w14:paraId="5F6DAEED">
      <w:pPr>
        <w:pStyle w:val="11"/>
        <w:tabs>
          <w:tab w:val="left" w:pos="426"/>
          <w:tab w:val="left" w:pos="567"/>
        </w:tabs>
        <w:spacing w:line="580" w:lineRule="exact"/>
        <w:ind w:firstLine="0" w:firstLineChars="0"/>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b/>
          <w:sz w:val="22"/>
          <w:szCs w:val="22"/>
          <w:lang w:val="en-US" w:eastAsia="zh-CN"/>
        </w:rPr>
        <w:t>九、报名时间及报名方式</w:t>
      </w:r>
    </w:p>
    <w:p w14:paraId="5E6CB47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1. 报名时间：即日起至2025年12月1日</w:t>
      </w:r>
    </w:p>
    <w:p w14:paraId="785A9B5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2. 报名方式：有意向参与的单位在报名时须将《营业执照》扫描件及报价方案电子文件一起发送至工人文化宫电子邮箱DGgryst@163.com。</w:t>
      </w:r>
    </w:p>
    <w:p w14:paraId="6F8E472F">
      <w:pPr>
        <w:pStyle w:val="11"/>
        <w:keepNext w:val="0"/>
        <w:keepLines w:val="0"/>
        <w:pageBreakBefore w:val="0"/>
        <w:widowControl w:val="0"/>
        <w:kinsoku/>
        <w:wordWrap/>
        <w:overflowPunct/>
        <w:topLinePunct w:val="0"/>
        <w:autoSpaceDE/>
        <w:autoSpaceDN/>
        <w:bidi w:val="0"/>
        <w:adjustRightInd/>
        <w:snapToGrid/>
        <w:spacing w:line="360" w:lineRule="auto"/>
        <w:ind w:firstLine="440"/>
        <w:textAlignment w:val="auto"/>
        <w:rPr>
          <w:rFonts w:hint="default"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3.报名咨询电话：工人文化宫0769-21665159</w:t>
      </w:r>
    </w:p>
    <w:p w14:paraId="7235B9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kern w:val="0"/>
          <w:sz w:val="22"/>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354A6F"/>
    <w:multiLevelType w:val="multilevel"/>
    <w:tmpl w:val="79354A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2776A8"/>
    <w:multiLevelType w:val="multilevel"/>
    <w:tmpl w:val="7A2776A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NTZmMGEzZTQ5NGRjYjc4M2Y2ODJiMmZjZTdlNzYifQ=="/>
  </w:docVars>
  <w:rsids>
    <w:rsidRoot w:val="00476F9C"/>
    <w:rsid w:val="00054478"/>
    <w:rsid w:val="000836E1"/>
    <w:rsid w:val="00117B61"/>
    <w:rsid w:val="00121152"/>
    <w:rsid w:val="00476F9C"/>
    <w:rsid w:val="005C2A99"/>
    <w:rsid w:val="006776A7"/>
    <w:rsid w:val="006C7460"/>
    <w:rsid w:val="008622AC"/>
    <w:rsid w:val="00866D75"/>
    <w:rsid w:val="009B7B7B"/>
    <w:rsid w:val="009C5A88"/>
    <w:rsid w:val="009F2321"/>
    <w:rsid w:val="00A55B81"/>
    <w:rsid w:val="00AB3409"/>
    <w:rsid w:val="00BD5E92"/>
    <w:rsid w:val="00CB65E9"/>
    <w:rsid w:val="00D56752"/>
    <w:rsid w:val="00E16ADB"/>
    <w:rsid w:val="00E51F3A"/>
    <w:rsid w:val="00F94854"/>
    <w:rsid w:val="00FA32CC"/>
    <w:rsid w:val="00FA7D18"/>
    <w:rsid w:val="10D47FA5"/>
    <w:rsid w:val="31631DD9"/>
    <w:rsid w:val="3A425EC7"/>
    <w:rsid w:val="6DB247F3"/>
    <w:rsid w:val="71BD45EB"/>
    <w:rsid w:val="78B23B0B"/>
    <w:rsid w:val="7A50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0"/>
      <w:szCs w:val="20"/>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rFonts w:ascii="Calibri" w:hAnsi="Calibri" w:eastAsia="宋体" w:cs="Times New Roman"/>
      <w:b/>
      <w:bCs/>
      <w:kern w:val="44"/>
      <w:sz w:val="44"/>
      <w:szCs w:val="44"/>
    </w:rPr>
  </w:style>
  <w:style w:type="character" w:customStyle="1" w:styleId="10">
    <w:name w:val="列出段落 Char"/>
    <w:link w:val="11"/>
    <w:qFormat/>
    <w:uiPriority w:val="0"/>
    <w:rPr>
      <w:rFonts w:ascii="Calibri" w:hAnsi="Calibri" w:eastAsia="宋体" w:cs="Times New Roman"/>
      <w:kern w:val="0"/>
      <w:sz w:val="20"/>
      <w:szCs w:val="20"/>
    </w:rPr>
  </w:style>
  <w:style w:type="paragraph" w:styleId="11">
    <w:name w:val="List Paragraph"/>
    <w:basedOn w:val="1"/>
    <w:link w:val="10"/>
    <w:qFormat/>
    <w:uiPriority w:val="34"/>
    <w:pPr>
      <w:ind w:firstLine="420" w:firstLineChars="200"/>
    </w:pPr>
  </w:style>
  <w:style w:type="character" w:customStyle="1" w:styleId="12">
    <w:name w:val="页眉 Char"/>
    <w:basedOn w:val="8"/>
    <w:link w:val="6"/>
    <w:qFormat/>
    <w:uiPriority w:val="99"/>
    <w:rPr>
      <w:rFonts w:ascii="Calibri" w:hAnsi="Calibri" w:eastAsia="宋体" w:cs="Times New Roman"/>
      <w:kern w:val="0"/>
      <w:sz w:val="18"/>
      <w:szCs w:val="18"/>
    </w:rPr>
  </w:style>
  <w:style w:type="character" w:customStyle="1" w:styleId="13">
    <w:name w:val="页脚 Char"/>
    <w:basedOn w:val="8"/>
    <w:link w:val="5"/>
    <w:qFormat/>
    <w:uiPriority w:val="99"/>
    <w:rPr>
      <w:rFonts w:ascii="Calibri" w:hAnsi="Calibri" w:eastAsia="宋体" w:cs="Times New Roman"/>
      <w:kern w:val="0"/>
      <w:sz w:val="18"/>
      <w:szCs w:val="18"/>
    </w:rPr>
  </w:style>
  <w:style w:type="character" w:customStyle="1" w:styleId="14">
    <w:name w:val="批注框文本 Char"/>
    <w:basedOn w:val="8"/>
    <w:link w:val="4"/>
    <w:semiHidden/>
    <w:qFormat/>
    <w:uiPriority w:val="99"/>
    <w:rPr>
      <w:rFonts w:ascii="Calibri" w:hAnsi="Calibri" w:eastAsia="宋体" w:cs="Times New Roman"/>
      <w:kern w:val="0"/>
      <w:sz w:val="18"/>
      <w:szCs w:val="18"/>
    </w:rPr>
  </w:style>
  <w:style w:type="character" w:customStyle="1" w:styleId="15">
    <w:name w:val="标题 4 Char"/>
    <w:basedOn w:val="8"/>
    <w:link w:val="3"/>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920</Words>
  <Characters>965</Characters>
  <Lines>20</Lines>
  <Paragraphs>5</Paragraphs>
  <TotalTime>16</TotalTime>
  <ScaleCrop>false</ScaleCrop>
  <LinksUpToDate>false</LinksUpToDate>
  <CharactersWithSpaces>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2022-03-02T02:08:00Z</dcterms:created>
  <dc:creator>微软用户</dc:creator>
  <cp:lastModifiedBy>蓝天</cp:lastModifiedBy>
  <cp:lastPrinted>2022-03-07T06:54:00Z</cp:lastPrinted>
  <dcterms:modified xsi:type="dcterms:W3CDTF">2025-11-21T02:20:18Z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9E5ECBE6DC744BEEBAA4F061C4498D86_13</vt:lpwstr>
  </property>
  <property fmtid="{D5CDD505-2E9C-101B-9397-08002B2CF9AE}" pid="4" name="KSOTemplateDocerSaveRecord">
    <vt:lpwstr>eyJoZGlkIjoiZGQ2ZDY0NjFkODliZjY4NTFhMjMxMGY3NjFhNzYyNTYiLCJ1c2VySWQiOiI3MjYwMjkzNzUifQ==</vt:lpwstr>
  </property>
</Properties>
</file>